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A26" w:rsidRDefault="00CA51B4" w14:paraId="3026360C" w14:textId="77777777">
      <w:pPr>
        <w:rPr>
          <w:rFonts w:ascii="Verdana" w:hAnsi="Verdana"/>
          <w:noProof/>
        </w:rPr>
      </w:pPr>
      <w:r w:rsidRPr="00022037">
        <w:rPr>
          <w:b/>
          <w:bCs/>
          <w:noProof/>
          <w:color w:val="4472C4"/>
          <w:lang w:val="en-GB" w:eastAsia="zh-CN"/>
        </w:rPr>
        <mc:AlternateContent>
          <mc:Choice Requires="wps">
            <w:drawing>
              <wp:anchor distT="0" distB="0" distL="114300" distR="114300" simplePos="0" relativeHeight="251673600" behindDoc="0" locked="0" layoutInCell="1" allowOverlap="1" wp14:editId="03260FB1" wp14:anchorId="47F0FCFB">
                <wp:simplePos x="0" y="0"/>
                <wp:positionH relativeFrom="column">
                  <wp:posOffset>1373506</wp:posOffset>
                </wp:positionH>
                <wp:positionV relativeFrom="page">
                  <wp:posOffset>714375</wp:posOffset>
                </wp:positionV>
                <wp:extent cx="4838700" cy="9652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4838700" cy="96520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Pr="00282B05" w:rsidR="00022037" w:rsidP="006565D8" w:rsidRDefault="00022037" w14:paraId="036BE7BC" w14:textId="77777777">
                            <w:pPr>
                              <w:snapToGrid w:val="0"/>
                              <w:spacing w:line="600" w:lineRule="exact"/>
                              <w:rPr>
                                <w:rFonts w:ascii="Verdana" w:hAnsi="Verdana"/>
                                <w:b/>
                                <w:sz w:val="64"/>
                                <w:szCs w:val="64"/>
                                <w:vertAlign w:val="subscript"/>
                                <w:lang w:val="en-GB"/>
                              </w:rPr>
                            </w:pPr>
                            <w:r w:rsidRPr="00282B05">
                              <w:rPr>
                                <w:rFonts w:ascii="Verdana" w:hAnsi="Verdana" w:cs="Times New Roman" w:eastAsiaTheme="minorHAnsi"/>
                                <w:b/>
                                <w:color w:val="000000"/>
                                <w:sz w:val="64"/>
                                <w:szCs w:val="64"/>
                                <w:vertAlign w:val="subscript"/>
                                <w:lang w:val="en-GB"/>
                              </w:rPr>
                              <w:t xml:space="preserve">¡Viva! Segunda </w:t>
                            </w:r>
                            <w:proofErr w:type="spellStart"/>
                            <w:r w:rsidRPr="00282B05">
                              <w:rPr>
                                <w:rFonts w:ascii="Verdana" w:hAnsi="Verdana" w:cs="Times New Roman" w:eastAsiaTheme="minorHAnsi"/>
                                <w:b/>
                                <w:color w:val="000000"/>
                                <w:sz w:val="64"/>
                                <w:szCs w:val="64"/>
                                <w:vertAlign w:val="subscript"/>
                                <w:lang w:val="en-GB"/>
                              </w:rPr>
                              <w:t>edición</w:t>
                            </w:r>
                            <w:proofErr w:type="spellEnd"/>
                            <w:r w:rsidRPr="00282B05">
                              <w:rPr>
                                <w:rFonts w:ascii="Verdana" w:hAnsi="Verdana" w:cs="Times New Roman" w:eastAsiaTheme="minorHAnsi"/>
                                <w:b/>
                                <w:color w:val="000000"/>
                                <w:sz w:val="64"/>
                                <w:szCs w:val="64"/>
                                <w:vertAlign w:val="subscript"/>
                                <w:lang w:val="en-GB"/>
                              </w:rPr>
                              <w:t xml:space="preserve"> </w:t>
                            </w:r>
                            <w:r w:rsidR="00CA51B4">
                              <w:rPr>
                                <w:rFonts w:ascii="Verdana" w:hAnsi="Verdana" w:cs="Times New Roman" w:eastAsiaTheme="minorHAnsi"/>
                                <w:b/>
                                <w:color w:val="000000"/>
                                <w:sz w:val="64"/>
                                <w:szCs w:val="64"/>
                                <w:vertAlign w:val="subscript"/>
                                <w:lang w:val="en-GB"/>
                              </w:rPr>
                              <w:t>and the Ofsted Framework</w:t>
                            </w:r>
                          </w:p>
                          <w:p w:rsidR="006565D8" w:rsidRDefault="006565D8" w14:paraId="5DA5C168"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F0FCFB">
                <v:stroke joinstyle="miter"/>
                <v:path gradientshapeok="t" o:connecttype="rect"/>
              </v:shapetype>
              <v:shape id="Text Box 13" style="position:absolute;margin-left:108.15pt;margin-top:56.25pt;width:381pt;height: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">
                <v:textbox inset="0,0,0,0">
                  <w:txbxContent>
                    <w:p w:rsidRPr="00282B05" w:rsidR="00022037" w:rsidP="006565D8" w:rsidRDefault="00022037" w14:paraId="036BE7BC" w14:textId="77777777">
                      <w:pPr>
                        <w:snapToGrid w:val="0"/>
                        <w:spacing w:line="600" w:lineRule="exact"/>
                        <w:rPr>
                          <w:rFonts w:ascii="Verdana" w:hAnsi="Verdana"/>
                          <w:b/>
                          <w:sz w:val="64"/>
                          <w:szCs w:val="64"/>
                          <w:vertAlign w:val="subscript"/>
                          <w:lang w:val="en-GB"/>
                        </w:rPr>
                      </w:pPr>
                      <w:r w:rsidRPr="00282B05">
                        <w:rPr>
                          <w:rFonts w:ascii="Verdana" w:hAnsi="Verdana" w:cs="Times New Roman" w:eastAsiaTheme="minorHAnsi"/>
                          <w:b/>
                          <w:color w:val="000000"/>
                          <w:sz w:val="64"/>
                          <w:szCs w:val="64"/>
                          <w:vertAlign w:val="subscript"/>
                          <w:lang w:val="en-GB"/>
                        </w:rPr>
                        <w:t xml:space="preserve">¡Viva! Segunda </w:t>
                      </w:r>
                      <w:proofErr w:type="spellStart"/>
                      <w:r w:rsidRPr="00282B05">
                        <w:rPr>
                          <w:rFonts w:ascii="Verdana" w:hAnsi="Verdana" w:cs="Times New Roman" w:eastAsiaTheme="minorHAnsi"/>
                          <w:b/>
                          <w:color w:val="000000"/>
                          <w:sz w:val="64"/>
                          <w:szCs w:val="64"/>
                          <w:vertAlign w:val="subscript"/>
                          <w:lang w:val="en-GB"/>
                        </w:rPr>
                        <w:t>edición</w:t>
                      </w:r>
                      <w:proofErr w:type="spellEnd"/>
                      <w:r w:rsidRPr="00282B05">
                        <w:rPr>
                          <w:rFonts w:ascii="Verdana" w:hAnsi="Verdana" w:cs="Times New Roman" w:eastAsiaTheme="minorHAnsi"/>
                          <w:b/>
                          <w:color w:val="000000"/>
                          <w:sz w:val="64"/>
                          <w:szCs w:val="64"/>
                          <w:vertAlign w:val="subscript"/>
                          <w:lang w:val="en-GB"/>
                        </w:rPr>
                        <w:t xml:space="preserve"> </w:t>
                      </w:r>
                      <w:r w:rsidR="00CA51B4">
                        <w:rPr>
                          <w:rFonts w:ascii="Verdana" w:hAnsi="Verdana" w:cs="Times New Roman" w:eastAsiaTheme="minorHAnsi"/>
                          <w:b/>
                          <w:color w:val="000000"/>
                          <w:sz w:val="64"/>
                          <w:szCs w:val="64"/>
                          <w:vertAlign w:val="subscript"/>
                          <w:lang w:val="en-GB"/>
                        </w:rPr>
                        <w:t>and the Ofsted Framework</w:t>
                      </w:r>
                    </w:p>
                    <w:p w:rsidR="006565D8" w:rsidRDefault="006565D8" w14:paraId="5DA5C168" w14:textId="77777777"/>
                  </w:txbxContent>
                </v:textbox>
                <w10:wrap anchory="page"/>
              </v:shape>
            </w:pict>
          </mc:Fallback>
        </mc:AlternateContent>
      </w:r>
      <w:r>
        <w:rPr>
          <w:b/>
          <w:bCs/>
          <w:noProof/>
          <w:color w:val="4472C4"/>
          <w:lang w:val="en-GB" w:eastAsia="zh-CN"/>
        </w:rPr>
        <w:drawing>
          <wp:anchor distT="0" distB="0" distL="114300" distR="114300" simplePos="0" relativeHeight="251687936" behindDoc="1" locked="0" layoutInCell="1" allowOverlap="1" wp14:editId="7CA8BDE6" wp14:anchorId="63A99AE9">
            <wp:simplePos x="0" y="0"/>
            <wp:positionH relativeFrom="page">
              <wp:posOffset>-25400</wp:posOffset>
            </wp:positionH>
            <wp:positionV relativeFrom="paragraph">
              <wp:posOffset>-1372235</wp:posOffset>
            </wp:positionV>
            <wp:extent cx="7573645" cy="10717530"/>
            <wp:effectExtent l="0" t="0" r="8255" b="762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303 Word BG JPG.jpg"/>
                    <pic:cNvPicPr/>
                  </pic:nvPicPr>
                  <pic:blipFill>
                    <a:blip r:embed="rId7">
                      <a:extLst>
                        <a:ext uri="{28A0092B-C50C-407E-A947-70E740481C1C}">
                          <a14:useLocalDpi xmlns:a14="http://schemas.microsoft.com/office/drawing/2010/main" val="0"/>
                        </a:ext>
                      </a:extLst>
                    </a:blip>
                    <a:stretch>
                      <a:fillRect/>
                    </a:stretch>
                  </pic:blipFill>
                  <pic:spPr>
                    <a:xfrm>
                      <a:off x="0" y="0"/>
                      <a:ext cx="7573645" cy="10717530"/>
                    </a:xfrm>
                    <a:prstGeom prst="rect">
                      <a:avLst/>
                    </a:prstGeom>
                  </pic:spPr>
                </pic:pic>
              </a:graphicData>
            </a:graphic>
            <wp14:sizeRelH relativeFrom="margin">
              <wp14:pctWidth>0</wp14:pctWidth>
            </wp14:sizeRelH>
            <wp14:sizeRelV relativeFrom="margin">
              <wp14:pctHeight>0</wp14:pctHeight>
            </wp14:sizeRelV>
          </wp:anchor>
        </w:drawing>
      </w:r>
    </w:p>
    <w:p w:rsidR="00CA51B4" w:rsidRDefault="00CA51B4" w14:paraId="3AF98FC5" w14:textId="77777777">
      <w:pPr>
        <w:rPr>
          <w:rFonts w:ascii="Verdana" w:hAnsi="Verdana"/>
          <w:noProof/>
        </w:rPr>
      </w:pPr>
    </w:p>
    <w:p w:rsidR="00CD233A" w:rsidP="00CD233A" w:rsidRDefault="00CD233A" w14:paraId="130D3C01" w14:textId="77777777">
      <w:pPr>
        <w:rPr>
          <w:rFonts w:eastAsia="Times New Roman"/>
          <w:b/>
          <w:bCs/>
          <w:color w:val="4472C4"/>
        </w:rPr>
      </w:pPr>
      <w:r>
        <w:rPr>
          <w:rFonts w:eastAsia="Times New Roman"/>
          <w:b/>
          <w:bCs/>
          <w:color w:val="4472C4"/>
        </w:rPr>
        <w:t xml:space="preserve">Want to understand how ¡Viva! Segunda </w:t>
      </w:r>
      <w:proofErr w:type="spellStart"/>
      <w:r>
        <w:rPr>
          <w:rFonts w:eastAsia="Times New Roman"/>
          <w:b/>
          <w:bCs/>
          <w:color w:val="4472C4"/>
        </w:rPr>
        <w:t>Edición</w:t>
      </w:r>
      <w:proofErr w:type="spellEnd"/>
      <w:r>
        <w:rPr>
          <w:rFonts w:eastAsia="Times New Roman"/>
          <w:b/>
          <w:bCs/>
          <w:color w:val="4472C4"/>
        </w:rPr>
        <w:t xml:space="preserve"> helps you to meet the demands of the new </w:t>
      </w:r>
      <w:proofErr w:type="spellStart"/>
      <w:r>
        <w:rPr>
          <w:rFonts w:eastAsia="Times New Roman"/>
          <w:b/>
          <w:bCs/>
          <w:color w:val="4472C4"/>
        </w:rPr>
        <w:t>Ofsted</w:t>
      </w:r>
      <w:proofErr w:type="spellEnd"/>
      <w:r>
        <w:rPr>
          <w:rFonts w:eastAsia="Times New Roman"/>
          <w:b/>
          <w:bCs/>
          <w:color w:val="4472C4"/>
        </w:rPr>
        <w:t xml:space="preserve"> Framework?  Read on to understand more about our ambitious and coherently planned and sequenced curriculum.  </w:t>
      </w:r>
    </w:p>
    <w:p w:rsidR="00CD233A" w:rsidP="00CD233A" w:rsidRDefault="00CD233A" w14:paraId="7DC3B81E" w14:textId="77777777">
      <w:pPr>
        <w:rPr>
          <w:rFonts w:eastAsia="Times New Roman"/>
          <w:b/>
          <w:bCs/>
          <w:color w:val="4472C4"/>
        </w:rPr>
      </w:pPr>
    </w:p>
    <w:p w:rsidR="00CD233A" w:rsidP="00CD233A" w:rsidRDefault="00CD233A" w14:paraId="587B5B38" w14:textId="77777777">
      <w:r>
        <w:rPr>
          <w:rFonts w:eastAsia="Times New Roman"/>
          <w:b/>
          <w:bCs/>
          <w:color w:val="4472C4"/>
        </w:rPr>
        <w:t>How does ¡Viva! provide an ambitious curriculum?</w:t>
      </w:r>
    </w:p>
    <w:p w:rsidR="00022037" w:rsidP="00CD233A" w:rsidRDefault="00CD233A" w14:paraId="0F676B28" w14:textId="77777777">
      <w:pPr>
        <w:rPr>
          <w:rFonts w:cs="Calibri"/>
        </w:rPr>
      </w:pPr>
      <w:r>
        <w:rPr>
          <w:rFonts w:cs="Calibri"/>
        </w:rPr>
        <w:t xml:space="preserve">¡Viva! provides ambitious grammatical and skills progression. For example, </w:t>
      </w:r>
      <w:r w:rsidR="009C2F37">
        <w:rPr>
          <w:rFonts w:cs="Calibri"/>
        </w:rPr>
        <w:t>p</w:t>
      </w:r>
      <w:r>
        <w:rPr>
          <w:rFonts w:cs="Calibri"/>
        </w:rPr>
        <w:t xml:space="preserve">upils use present and near future tenses by the end of Book </w:t>
      </w:r>
      <w:proofErr w:type="gramStart"/>
      <w:r>
        <w:rPr>
          <w:rFonts w:cs="Calibri"/>
        </w:rPr>
        <w:t>1</w:t>
      </w:r>
      <w:proofErr w:type="gramEnd"/>
      <w:r>
        <w:rPr>
          <w:rFonts w:cs="Calibri"/>
        </w:rPr>
        <w:t xml:space="preserve"> and they use the </w:t>
      </w:r>
      <w:proofErr w:type="spellStart"/>
      <w:r>
        <w:rPr>
          <w:rFonts w:cs="Calibri"/>
        </w:rPr>
        <w:t>preterite</w:t>
      </w:r>
      <w:proofErr w:type="spellEnd"/>
      <w:r>
        <w:rPr>
          <w:rFonts w:cs="Calibri"/>
        </w:rPr>
        <w:t xml:space="preserve"> from Book 2, Module 1. Pupils using Book 3, </w:t>
      </w:r>
      <w:proofErr w:type="spellStart"/>
      <w:r>
        <w:rPr>
          <w:rFonts w:cs="Calibri"/>
        </w:rPr>
        <w:t>Rojo</w:t>
      </w:r>
      <w:proofErr w:type="spellEnd"/>
      <w:r>
        <w:rPr>
          <w:rFonts w:cs="Calibri"/>
        </w:rPr>
        <w:t xml:space="preserve"> are also introduced to the imperfect and simple future. Skills boxes in every unit and dedicated skills pages in every module help pupils acquire key language learning strategies to help them progress. For example, in Book 1, Module 4 pupils focus on giving an effective presentation, </w:t>
      </w:r>
      <w:proofErr w:type="gramStart"/>
      <w:r>
        <w:rPr>
          <w:rFonts w:cs="Calibri"/>
        </w:rPr>
        <w:t>Book</w:t>
      </w:r>
      <w:proofErr w:type="gramEnd"/>
      <w:r>
        <w:rPr>
          <w:rFonts w:cs="Calibri"/>
        </w:rPr>
        <w:t xml:space="preserve"> 2 includes skills for dealing with authentic texts and Book 3 includes skills such as responding confidently to unprepared questions.</w:t>
      </w:r>
    </w:p>
    <w:p w:rsidR="00022037" w:rsidP="00CD233A" w:rsidRDefault="00022037" w14:paraId="0D86A205" w14:textId="77777777">
      <w:pPr>
        <w:rPr>
          <w:rFonts w:cs="Calibri"/>
        </w:rPr>
      </w:pPr>
    </w:p>
    <w:p w:rsidR="00CD233A" w:rsidP="00CD233A" w:rsidRDefault="00CD233A" w14:paraId="01024E0C" w14:textId="77777777">
      <w:pPr>
        <w:rPr>
          <w:rFonts w:cs="Calibri"/>
        </w:rPr>
      </w:pPr>
      <w:r>
        <w:rPr>
          <w:rFonts w:cs="Calibri"/>
        </w:rPr>
        <w:t xml:space="preserve">Clear presentation, structured support and systematic recycling help pupils to embed the language and skills and make the ambitious progression manageable. </w:t>
      </w:r>
    </w:p>
    <w:p w:rsidR="00022037" w:rsidP="00CD233A" w:rsidRDefault="00022037" w14:paraId="5078C6A0" w14:textId="77777777">
      <w:pPr>
        <w:rPr>
          <w:rFonts w:cs="Calibri"/>
        </w:rPr>
      </w:pPr>
    </w:p>
    <w:p w:rsidR="00CD233A" w:rsidP="00CD233A" w:rsidRDefault="00CD233A" w14:paraId="4468BEAB" w14:textId="77777777">
      <w:pPr>
        <w:rPr>
          <w:b/>
          <w:bCs/>
          <w:color w:val="4472C4"/>
        </w:rPr>
      </w:pPr>
      <w:r>
        <w:rPr>
          <w:b/>
          <w:bCs/>
          <w:color w:val="4472C4"/>
        </w:rPr>
        <w:t>How does ¡Viva! help to equip pupils with the knowledge and the ‘cultural capital’ they need to progress to further study and to succeed in life?</w:t>
      </w:r>
    </w:p>
    <w:p w:rsidR="001D38CD" w:rsidP="00CD233A" w:rsidRDefault="001D38CD" w14:paraId="01678390" w14:textId="77777777">
      <w:pPr>
        <w:rPr>
          <w:b/>
          <w:bCs/>
          <w:color w:val="4472C4"/>
        </w:rPr>
      </w:pPr>
    </w:p>
    <w:p w:rsidR="00CD233A" w:rsidP="00CD233A" w:rsidRDefault="00CD233A" w14:paraId="7B2ECBD4" w14:textId="77777777">
      <w:r>
        <w:t>The ambitious curriculum, the strong progression and focus on key language skills ensure that pupils know more language and gain the confidence to use it independently. At the same time the strong cultural focus helps pupils to build knowledge of the countries where Spanish is spoken. The inclusion of authentic materials such as poems and songs, cultural quizzes and ‘spotlight’ boxes, and videos featuring a group of Spanish teenagers mean that cultural content is woven through the Modules. In addition</w:t>
      </w:r>
      <w:r w:rsidR="009C2F37">
        <w:t>,</w:t>
      </w:r>
      <w:r>
        <w:t xml:space="preserve"> there are specific project spreads (Proyecto) with a cultural focus – for example, looking at a famous Spanish painting, a Peruvian folk tale or inequalities in education across the Hispanic world. </w:t>
      </w:r>
    </w:p>
    <w:p w:rsidR="00022037" w:rsidP="00CD233A" w:rsidRDefault="00022037" w14:paraId="4D4E7DC6" w14:textId="77777777"/>
    <w:p w:rsidR="00CD233A" w:rsidP="00CD233A" w:rsidRDefault="00CD233A" w14:paraId="573C00C0" w14:textId="77777777">
      <w:pPr>
        <w:rPr>
          <w:rFonts w:eastAsia="Times New Roman"/>
          <w:b/>
          <w:bCs/>
          <w:color w:val="4472C4"/>
        </w:rPr>
      </w:pPr>
      <w:r>
        <w:rPr>
          <w:rFonts w:eastAsia="Times New Roman"/>
          <w:b/>
          <w:bCs/>
          <w:color w:val="4472C4"/>
        </w:rPr>
        <w:t>How does ¡Viva! differentiate its curriculum for all learners?</w:t>
      </w:r>
    </w:p>
    <w:p w:rsidR="00022037" w:rsidP="00CD233A" w:rsidRDefault="00022037" w14:paraId="33F5AE33" w14:textId="77777777">
      <w:pPr>
        <w:rPr>
          <w:rFonts w:eastAsia="Times New Roman"/>
          <w:b/>
          <w:bCs/>
          <w:color w:val="4472C4"/>
        </w:rPr>
      </w:pPr>
    </w:p>
    <w:p w:rsidR="00CD233A" w:rsidP="00CD233A" w:rsidRDefault="00CD233A" w14:paraId="7328BC4E" w14:textId="6A276415">
      <w:r>
        <w:t>¡Viva! 1 and 2 each have one fully-differentiated Pupil Book and ¡Viva! 3 has two parallel Pupil Books</w:t>
      </w:r>
      <w:r w:rsidR="00491098">
        <w:t>:</w:t>
      </w:r>
      <w:r>
        <w:t xml:space="preserve"> ¡Viva! 3 Verde (for lower ability learners) and ¡Viva! 3 </w:t>
      </w:r>
      <w:proofErr w:type="spellStart"/>
      <w:r>
        <w:t>Rojo</w:t>
      </w:r>
      <w:proofErr w:type="spellEnd"/>
      <w:r>
        <w:t xml:space="preserve"> (for higher ability learners).</w:t>
      </w:r>
      <w:r w:rsidR="00491098">
        <w:t xml:space="preserve"> </w:t>
      </w:r>
      <w:r w:rsidR="009C2F37">
        <w:t xml:space="preserve"> </w:t>
      </w:r>
      <w:r>
        <w:t xml:space="preserve">There are differentiated activities in all four skills throughout each Pupil Book and ideas are given in the Teacher’s Guide for reinforcement and extension. Skills and ¡Adelante! spreads at the end of every module combine language, as well as revisiting language from previous modules to give pupils the opportunity to pull their learning together and to work on language-learning skills at a deeper level.  ¡Viva! 2 also has extra extension units for higher ability learners. The </w:t>
      </w:r>
      <w:proofErr w:type="spellStart"/>
      <w:r>
        <w:t>Te</w:t>
      </w:r>
      <w:proofErr w:type="spellEnd"/>
      <w:r>
        <w:t xml:space="preserve"> </w:t>
      </w:r>
      <w:proofErr w:type="spellStart"/>
      <w:r>
        <w:t>toca</w:t>
      </w:r>
      <w:proofErr w:type="spellEnd"/>
      <w:r>
        <w:t xml:space="preserve"> a </w:t>
      </w:r>
      <w:proofErr w:type="spellStart"/>
      <w:r>
        <w:t>ti</w:t>
      </w:r>
      <w:proofErr w:type="spellEnd"/>
      <w:r>
        <w:t xml:space="preserve"> section at the back of the Pupil Book provides extra reading and writing tasks at two levels. In addition there are workbooks at reinforcement and extension levels and differentiated listening and reading homework tasks in </w:t>
      </w:r>
      <w:bookmarkStart w:name="_GoBack" w:id="0"/>
      <w:bookmarkEnd w:id="0"/>
      <w:proofErr w:type="spellStart"/>
      <w:r>
        <w:t>ActiveLearn</w:t>
      </w:r>
      <w:proofErr w:type="spellEnd"/>
      <w:r>
        <w:t xml:space="preserve">.  </w:t>
      </w:r>
    </w:p>
    <w:p w:rsidR="00491098" w:rsidP="00CD233A" w:rsidRDefault="00491098" w14:paraId="7CCCFE1C" w14:textId="77777777"/>
    <w:p w:rsidR="00CA51B4" w:rsidP="00CD233A" w:rsidRDefault="00CA51B4" w14:paraId="5F3D6916" w14:textId="77777777">
      <w:pPr>
        <w:rPr>
          <w:b/>
          <w:bCs/>
          <w:color w:val="4472C4"/>
        </w:rPr>
      </w:pPr>
      <w:r>
        <w:rPr>
          <w:b/>
          <w:bCs/>
          <w:color w:val="4472C4"/>
        </w:rPr>
        <w:br w:type="page"/>
      </w:r>
    </w:p>
    <w:p w:rsidR="00CD233A" w:rsidP="00CD233A" w:rsidRDefault="00CA51B4" w14:paraId="51F56701" w14:textId="77777777">
      <w:pPr>
        <w:rPr>
          <w:b/>
          <w:bCs/>
          <w:color w:val="4472C4"/>
        </w:rPr>
      </w:pPr>
      <w:r>
        <w:rPr>
          <w:b/>
          <w:bCs/>
          <w:noProof/>
          <w:color w:val="4472C4"/>
          <w:lang w:val="en-GB" w:eastAsia="zh-CN"/>
        </w:rPr>
        <w:lastRenderedPageBreak/>
        <w:drawing>
          <wp:anchor distT="0" distB="0" distL="114300" distR="114300" simplePos="0" relativeHeight="251694080" behindDoc="1" locked="0" layoutInCell="1" allowOverlap="1" wp14:editId="07AD5B9D" wp14:anchorId="46D8D698">
            <wp:simplePos x="0" y="0"/>
            <wp:positionH relativeFrom="page">
              <wp:align>left</wp:align>
            </wp:positionH>
            <wp:positionV relativeFrom="paragraph">
              <wp:posOffset>-1376680</wp:posOffset>
            </wp:positionV>
            <wp:extent cx="7574069" cy="10717950"/>
            <wp:effectExtent l="0" t="0" r="8255" b="762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303 Word BG JPG.jpg"/>
                    <pic:cNvPicPr/>
                  </pic:nvPicPr>
                  <pic:blipFill>
                    <a:blip r:embed="rId7">
                      <a:extLst>
                        <a:ext uri="{28A0092B-C50C-407E-A947-70E740481C1C}">
                          <a14:useLocalDpi xmlns:a14="http://schemas.microsoft.com/office/drawing/2010/main" val="0"/>
                        </a:ext>
                      </a:extLst>
                    </a:blip>
                    <a:stretch>
                      <a:fillRect/>
                    </a:stretch>
                  </pic:blipFill>
                  <pic:spPr>
                    <a:xfrm>
                      <a:off x="0" y="0"/>
                      <a:ext cx="7574069" cy="10717950"/>
                    </a:xfrm>
                    <a:prstGeom prst="rect">
                      <a:avLst/>
                    </a:prstGeom>
                  </pic:spPr>
                </pic:pic>
              </a:graphicData>
            </a:graphic>
            <wp14:sizeRelH relativeFrom="margin">
              <wp14:pctWidth>0</wp14:pctWidth>
            </wp14:sizeRelH>
            <wp14:sizeRelV relativeFrom="margin">
              <wp14:pctHeight>0</wp14:pctHeight>
            </wp14:sizeRelV>
          </wp:anchor>
        </w:drawing>
      </w:r>
      <w:r w:rsidR="00CD233A">
        <w:rPr>
          <w:b/>
          <w:bCs/>
          <w:color w:val="4472C4"/>
        </w:rPr>
        <w:t>How has ¡Viva! defined end points for the curriculum and useful content to lead towards them?</w:t>
      </w:r>
      <w:r w:rsidRPr="00022037" w:rsidR="00022037">
        <w:rPr>
          <w:b/>
          <w:bCs/>
          <w:color w:val="4472C4"/>
        </w:rPr>
        <w:t xml:space="preserve"> </w:t>
      </w:r>
    </w:p>
    <w:p w:rsidR="006D1A8A" w:rsidP="00CD233A" w:rsidRDefault="006D1A8A" w14:paraId="4E7D6E6C" w14:textId="77777777">
      <w:pPr>
        <w:rPr>
          <w:b/>
          <w:bCs/>
          <w:color w:val="4472C4"/>
        </w:rPr>
      </w:pPr>
    </w:p>
    <w:p w:rsidR="00CD233A" w:rsidP="00CD233A" w:rsidRDefault="00CD233A" w14:paraId="3D021601" w14:textId="77777777">
      <w:r>
        <w:t>A wide range of teachers have helped to identify the most useful end points for pupils to reach at each stage of learning. The end points set out clearly what pupils should know and be able to do.</w:t>
      </w:r>
      <w:r w:rsidR="009C2F37">
        <w:t xml:space="preserve">  </w:t>
      </w:r>
      <w:r>
        <w:t xml:space="preserve">With the end points in place the most useful grammar, language, skills, topics and cultural content to reach those points was identified. In this process teachers have considered what things pupils want to talk about, what will equip them for life beyond school, the demands of the National Curriculum 2014 and the 9-1 GCSE and what will motivate pupils to continue their studies. </w:t>
      </w:r>
    </w:p>
    <w:p w:rsidR="00F44F80" w:rsidP="00F44F80" w:rsidRDefault="00CD233A" w14:paraId="1412E601" w14:textId="77777777">
      <w:pPr>
        <w:spacing w:before="160"/>
        <w:rPr>
          <w:rFonts w:eastAsia="Times New Roman"/>
          <w:i/>
          <w:iCs/>
          <w:color w:val="000000"/>
          <w:sz w:val="16"/>
          <w:szCs w:val="16"/>
        </w:rPr>
      </w:pPr>
      <w:r>
        <w:rPr>
          <w:rFonts w:eastAsia="Times New Roman"/>
          <w:b/>
          <w:bCs/>
          <w:color w:val="4472C4"/>
        </w:rPr>
        <w:t>Where can I find the clearly-defined end points?</w:t>
      </w:r>
    </w:p>
    <w:p w:rsidR="00CD233A" w:rsidP="00F44F80" w:rsidRDefault="00CD233A" w14:paraId="340E6C56" w14:textId="77777777">
      <w:pPr>
        <w:spacing w:before="160"/>
      </w:pPr>
      <w:r>
        <w:t xml:space="preserve">End points (what pupils should know and be able to do) can be found as follows: </w:t>
      </w:r>
    </w:p>
    <w:p w:rsidR="00CD233A" w:rsidP="00CD233A" w:rsidRDefault="00CD233A" w14:paraId="285EED05" w14:textId="77777777"/>
    <w:p w:rsidRPr="00D5681A" w:rsidR="00CD233A" w:rsidP="00CD233A" w:rsidRDefault="00CD233A" w14:paraId="5CB7A11F" w14:textId="04375EDC">
      <w:pPr>
        <w:rPr>
          <w:lang w:val="es-ES"/>
        </w:rPr>
      </w:pPr>
      <w:r>
        <w:t>End point of year</w:t>
      </w:r>
      <w:r w:rsidR="003332FC">
        <w:t xml:space="preserve">: </w:t>
      </w:r>
      <w:r>
        <w:t xml:space="preserve">given in the </w:t>
      </w:r>
      <w:r w:rsidRPr="009F7644" w:rsidR="00184F5D">
        <w:t xml:space="preserve">¡Viva! Segunda </w:t>
      </w:r>
      <w:proofErr w:type="spellStart"/>
      <w:r w:rsidRPr="009F7644" w:rsidR="00184F5D">
        <w:t>Edición</w:t>
      </w:r>
      <w:proofErr w:type="spellEnd"/>
      <w:r w:rsidRPr="009F7644" w:rsidR="00184F5D">
        <w:t xml:space="preserve"> Curriculum Sequencing Map</w:t>
      </w:r>
      <w:r w:rsidRPr="009F7644" w:rsidR="005D5BEE">
        <w:rPr>
          <w:rFonts w:cs="Calibri"/>
          <w:bCs/>
          <w:lang w:val="es-ES"/>
        </w:rPr>
        <w:t xml:space="preserve">, </w:t>
      </w:r>
      <w:hyperlink w:history="1" r:id="rId8">
        <w:r w:rsidRPr="009F7644" w:rsidR="005D5BEE">
          <w:rPr>
            <w:rStyle w:val="Hyperlink"/>
          </w:rPr>
          <w:t>here</w:t>
        </w:r>
      </w:hyperlink>
      <w:r w:rsidR="005D5BEE">
        <w:rPr>
          <w:rFonts w:cs="Calibri"/>
          <w:b/>
          <w:bCs/>
          <w:lang w:val="es-ES"/>
        </w:rPr>
        <w:t>.</w:t>
      </w:r>
    </w:p>
    <w:p w:rsidR="00CD233A" w:rsidP="00CD233A" w:rsidRDefault="00CD233A" w14:paraId="0BAD06F8" w14:textId="77777777">
      <w:r>
        <w:t>End point of a Module (half term)</w:t>
      </w:r>
      <w:r w:rsidR="00CF7228">
        <w:t xml:space="preserve">: </w:t>
      </w:r>
      <w:r>
        <w:t xml:space="preserve"> given in the Module overview grids</w:t>
      </w:r>
      <w:r w:rsidR="00A0277D">
        <w:t>,</w:t>
      </w:r>
      <w:r>
        <w:t xml:space="preserve"> in the </w:t>
      </w:r>
      <w:proofErr w:type="spellStart"/>
      <w:r>
        <w:t>customisable</w:t>
      </w:r>
      <w:proofErr w:type="spellEnd"/>
      <w:r>
        <w:t xml:space="preserve"> Scheme of work and in the </w:t>
      </w:r>
      <w:proofErr w:type="spellStart"/>
      <w:r>
        <w:t>Resumen</w:t>
      </w:r>
      <w:proofErr w:type="spellEnd"/>
      <w:r>
        <w:t xml:space="preserve"> in the Pupil’s Book</w:t>
      </w:r>
      <w:r w:rsidR="00A0277D">
        <w:t>.</w:t>
      </w:r>
    </w:p>
    <w:p w:rsidR="00CD233A" w:rsidP="00CD233A" w:rsidRDefault="00CD233A" w14:paraId="07F1105E" w14:textId="77777777">
      <w:r>
        <w:t>End point for a Unit (lesson)</w:t>
      </w:r>
      <w:r w:rsidR="00CF7228">
        <w:t xml:space="preserve">: </w:t>
      </w:r>
      <w:r>
        <w:t>given in unit objectives in the Scheme of work and on the Pupil’s Book page</w:t>
      </w:r>
      <w:r w:rsidR="00A0277D">
        <w:t>.</w:t>
      </w:r>
    </w:p>
    <w:p w:rsidR="00CD233A" w:rsidP="00CD233A" w:rsidRDefault="00CD233A" w14:paraId="460DA96F" w14:textId="77777777">
      <w:pPr>
        <w:spacing w:before="160"/>
        <w:rPr>
          <w:rFonts w:eastAsia="Times New Roman"/>
          <w:b/>
          <w:bCs/>
          <w:color w:val="4472C4"/>
        </w:rPr>
      </w:pPr>
      <w:r>
        <w:rPr>
          <w:rFonts w:eastAsia="Times New Roman"/>
          <w:b/>
          <w:bCs/>
          <w:color w:val="4472C4"/>
        </w:rPr>
        <w:t>How is ¡</w:t>
      </w:r>
      <w:proofErr w:type="spellStart"/>
      <w:r>
        <w:rPr>
          <w:rFonts w:eastAsia="Times New Roman"/>
          <w:b/>
          <w:bCs/>
          <w:color w:val="4472C4"/>
        </w:rPr>
        <w:t>Viva!'s</w:t>
      </w:r>
      <w:proofErr w:type="spellEnd"/>
      <w:r>
        <w:rPr>
          <w:rFonts w:eastAsia="Times New Roman"/>
          <w:b/>
          <w:bCs/>
          <w:color w:val="4472C4"/>
        </w:rPr>
        <w:t xml:space="preserve"> curriculum coherently planned and sequenced so that new knowledge and skills build on what has been taught before?</w:t>
      </w:r>
    </w:p>
    <w:p w:rsidR="00F44F80" w:rsidP="00CD233A" w:rsidRDefault="00F44F80" w14:paraId="1529E583" w14:textId="77777777"/>
    <w:p w:rsidR="00CD233A" w:rsidP="00CD233A" w:rsidRDefault="00CD233A" w14:paraId="0356926F" w14:textId="77777777">
      <w:r>
        <w:t xml:space="preserve">Schemes of work to reach the end points have been developed through research with teachers. Phonics, grammar, vocabulary and skills are introduced, revised and extended through the course in a systematic and logical progression. In this way knowledge and skills are constantly building on what has been taught before. </w:t>
      </w:r>
    </w:p>
    <w:p w:rsidR="00CD233A" w:rsidP="00CD233A" w:rsidRDefault="00CD233A" w14:paraId="2B3C5683" w14:textId="77777777"/>
    <w:p w:rsidR="00CD233A" w:rsidP="00CD233A" w:rsidRDefault="00CD233A" w14:paraId="44CF9D2E" w14:textId="77777777">
      <w:r>
        <w:t>Individual lessons build from a simple starter</w:t>
      </w:r>
      <w:r w:rsidR="00DD17B7">
        <w:t>,</w:t>
      </w:r>
      <w:r>
        <w:t xml:space="preserve"> to the introduction of new language, supported practice and then to more open-ended tasks.  In the later units of the module, language is pooled and combined in the dedicated skills unit, the quiz-style </w:t>
      </w:r>
      <w:proofErr w:type="spellStart"/>
      <w:r w:rsidR="00020368">
        <w:t>Repaso</w:t>
      </w:r>
      <w:proofErr w:type="spellEnd"/>
      <w:r w:rsidR="00020368">
        <w:t xml:space="preserve"> </w:t>
      </w:r>
      <w:r>
        <w:t>revision page and the ¡Adelante! unit. Language and skills are then revised and extended in the modules that follow, allowing pupils to apply knowledge in new contexts and helping them to develop confidence and independence and embed knowledge into long-term memory.</w:t>
      </w:r>
    </w:p>
    <w:p w:rsidR="00DD17B7" w:rsidP="00CD233A" w:rsidRDefault="00DD17B7" w14:paraId="6BCDD363" w14:textId="77777777"/>
    <w:p w:rsidR="00CD233A" w:rsidP="00CD233A" w:rsidRDefault="00CD233A" w14:paraId="52336976" w14:textId="5B3EE09B">
      <w:r>
        <w:rPr>
          <w:rFonts w:cs="Calibri"/>
          <w:bCs/>
        </w:rPr>
        <w:t>The</w:t>
      </w:r>
      <w:r>
        <w:rPr>
          <w:rFonts w:cs="Calibri"/>
          <w:b/>
          <w:bCs/>
        </w:rPr>
        <w:t xml:space="preserve"> ¡Viva! Segunda </w:t>
      </w:r>
      <w:proofErr w:type="spellStart"/>
      <w:r>
        <w:rPr>
          <w:rFonts w:cs="Calibri"/>
          <w:b/>
          <w:bCs/>
        </w:rPr>
        <w:t>Edición</w:t>
      </w:r>
      <w:proofErr w:type="spellEnd"/>
      <w:r>
        <w:rPr>
          <w:rFonts w:cs="Calibri"/>
          <w:b/>
          <w:bCs/>
        </w:rPr>
        <w:t xml:space="preserve"> Curriculum Sequencing Map </w:t>
      </w:r>
      <w:r>
        <w:t xml:space="preserve">for the whole course can be found </w:t>
      </w:r>
      <w:hyperlink w:history="1" r:id="rId9">
        <w:r w:rsidRPr="00184F5D">
          <w:rPr>
            <w:rStyle w:val="Hyperlink"/>
          </w:rPr>
          <w:t>here</w:t>
        </w:r>
      </w:hyperlink>
      <w:r>
        <w:t>.</w:t>
      </w:r>
      <w:r w:rsidR="00020368">
        <w:t xml:space="preserve">  This shows </w:t>
      </w:r>
      <w:r w:rsidRPr="00020368" w:rsidR="00020368">
        <w:rPr>
          <w:iCs/>
        </w:rPr>
        <w:t>why</w:t>
      </w:r>
      <w:r w:rsidR="00020368">
        <w:t xml:space="preserve"> particular content is being covered at a certain point and how it builds on what has been taught before.</w:t>
      </w:r>
    </w:p>
    <w:p w:rsidRPr="006D1A8A" w:rsidR="006D1A8A" w:rsidP="00CD233A" w:rsidRDefault="00282B05" w14:paraId="1961AE4F" w14:textId="77777777">
      <w:pPr>
        <w:rPr>
          <w:color w:val="FFFFFF" w:themeColor="background1"/>
          <w14:textFill>
            <w14:noFill/>
          </w14:textFill>
        </w:rPr>
      </w:pPr>
      <w:r>
        <w:rPr>
          <w:b/>
          <w:bCs/>
          <w:noProof/>
          <w:color w:val="4472C4"/>
          <w:lang w:val="en-GB" w:eastAsia="zh-CN"/>
        </w:rPr>
        <w:drawing>
          <wp:anchor distT="0" distB="0" distL="114300" distR="114300" simplePos="0" relativeHeight="251689984" behindDoc="1" locked="0" layoutInCell="1" allowOverlap="1" wp14:editId="07AD5B9D" wp14:anchorId="46D8D698">
            <wp:simplePos x="0" y="0"/>
            <wp:positionH relativeFrom="column">
              <wp:posOffset>-914400</wp:posOffset>
            </wp:positionH>
            <wp:positionV relativeFrom="paragraph">
              <wp:posOffset>-1431925</wp:posOffset>
            </wp:positionV>
            <wp:extent cx="7574069" cy="10717950"/>
            <wp:effectExtent l="0" t="0" r="0" b="127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303 Word BG JPG.jpg"/>
                    <pic:cNvPicPr/>
                  </pic:nvPicPr>
                  <pic:blipFill>
                    <a:blip r:embed="rId7">
                      <a:extLst>
                        <a:ext uri="{28A0092B-C50C-407E-A947-70E740481C1C}">
                          <a14:useLocalDpi xmlns:a14="http://schemas.microsoft.com/office/drawing/2010/main" val="0"/>
                        </a:ext>
                      </a:extLst>
                    </a:blip>
                    <a:stretch>
                      <a:fillRect/>
                    </a:stretch>
                  </pic:blipFill>
                  <pic:spPr>
                    <a:xfrm>
                      <a:off x="0" y="0"/>
                      <a:ext cx="7574069" cy="10717950"/>
                    </a:xfrm>
                    <a:prstGeom prst="rect">
                      <a:avLst/>
                    </a:prstGeom>
                  </pic:spPr>
                </pic:pic>
              </a:graphicData>
            </a:graphic>
            <wp14:sizeRelH relativeFrom="margin">
              <wp14:pctWidth>0</wp14:pctWidth>
            </wp14:sizeRelH>
            <wp14:sizeRelV relativeFrom="margin">
              <wp14:pctHeight>0</wp14:pctHeight>
            </wp14:sizeRelV>
          </wp:anchor>
        </w:drawing>
      </w:r>
    </w:p>
    <w:p w:rsidR="00CD233A" w:rsidP="00CD233A" w:rsidRDefault="00CD233A" w14:paraId="5368C964" w14:textId="77777777">
      <w:pPr>
        <w:rPr>
          <w:rFonts w:eastAsia="Times New Roman"/>
          <w:b/>
          <w:bCs/>
          <w:color w:val="4472C4"/>
        </w:rPr>
      </w:pPr>
      <w:r>
        <w:rPr>
          <w:rFonts w:eastAsia="Times New Roman"/>
          <w:b/>
          <w:bCs/>
          <w:color w:val="4472C4"/>
        </w:rPr>
        <w:t>How does ¡Viva! ensure knowledge is embedded in pupils' long-term memory so that they can apply it fluently?</w:t>
      </w:r>
    </w:p>
    <w:p w:rsidR="00F44F80" w:rsidP="00CD233A" w:rsidRDefault="00F44F80" w14:paraId="7602E01C" w14:textId="77777777"/>
    <w:p w:rsidR="00CD233A" w:rsidP="00CD233A" w:rsidRDefault="00CD233A" w14:paraId="675C89C1" w14:textId="77777777">
      <w:r>
        <w:t xml:space="preserve">The systematic progression in the Scheme of work underpinning the course ensures that pupils are always building on knowledge and skills they have been taught. They are given </w:t>
      </w:r>
      <w:r w:rsidR="00CA51B4">
        <w:rPr>
          <w:b/>
          <w:bCs/>
          <w:noProof/>
          <w:color w:val="4472C4"/>
          <w:lang w:val="en-GB" w:eastAsia="zh-CN"/>
        </w:rPr>
        <w:drawing>
          <wp:anchor distT="0" distB="0" distL="114300" distR="114300" simplePos="0" relativeHeight="251692032" behindDoc="1" locked="0" layoutInCell="1" allowOverlap="1" wp14:editId="07AD5B9D" wp14:anchorId="46D8D698">
            <wp:simplePos x="0" y="0"/>
            <wp:positionH relativeFrom="column">
              <wp:posOffset>-908050</wp:posOffset>
            </wp:positionH>
            <wp:positionV relativeFrom="paragraph">
              <wp:posOffset>-1537335</wp:posOffset>
            </wp:positionV>
            <wp:extent cx="7574069" cy="10717950"/>
            <wp:effectExtent l="0" t="0" r="0" b="127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303 Word BG JPG.jpg"/>
                    <pic:cNvPicPr/>
                  </pic:nvPicPr>
                  <pic:blipFill>
                    <a:blip r:embed="rId7">
                      <a:extLst>
                        <a:ext uri="{28A0092B-C50C-407E-A947-70E740481C1C}">
                          <a14:useLocalDpi xmlns:a14="http://schemas.microsoft.com/office/drawing/2010/main" val="0"/>
                        </a:ext>
                      </a:extLst>
                    </a:blip>
                    <a:stretch>
                      <a:fillRect/>
                    </a:stretch>
                  </pic:blipFill>
                  <pic:spPr>
                    <a:xfrm>
                      <a:off x="0" y="0"/>
                      <a:ext cx="7574069" cy="10717950"/>
                    </a:xfrm>
                    <a:prstGeom prst="rect">
                      <a:avLst/>
                    </a:prstGeom>
                  </pic:spPr>
                </pic:pic>
              </a:graphicData>
            </a:graphic>
            <wp14:sizeRelH relativeFrom="margin">
              <wp14:pctWidth>0</wp14:pctWidth>
            </wp14:sizeRelH>
            <wp14:sizeRelV relativeFrom="margin">
              <wp14:pctHeight>0</wp14:pctHeight>
            </wp14:sizeRelV>
          </wp:anchor>
        </w:drawing>
      </w:r>
      <w:r>
        <w:t>opportunities to apply their existing knowledge to new contexts and to build on it. In this way pupils are helped to embed knowledge and skills into long-term memory so that they know more, can do more and can use language more fluently.</w:t>
      </w:r>
    </w:p>
    <w:p w:rsidR="00CD233A" w:rsidP="00CD233A" w:rsidRDefault="00DD17B7" w14:paraId="641DAD6B" w14:textId="77777777">
      <w:r>
        <w:rPr>
          <w:b/>
          <w:bCs/>
          <w:noProof/>
          <w:color w:val="4472C4"/>
          <w:lang w:val="en-GB" w:eastAsia="zh-CN"/>
        </w:rPr>
        <w:lastRenderedPageBreak/>
        <w:drawing>
          <wp:anchor distT="0" distB="0" distL="114300" distR="114300" simplePos="0" relativeHeight="251696128" behindDoc="1" locked="0" layoutInCell="1" allowOverlap="1" wp14:editId="1703870E" wp14:anchorId="5E7704E4">
            <wp:simplePos x="0" y="0"/>
            <wp:positionH relativeFrom="page">
              <wp:align>right</wp:align>
            </wp:positionH>
            <wp:positionV relativeFrom="paragraph">
              <wp:posOffset>-1308735</wp:posOffset>
            </wp:positionV>
            <wp:extent cx="7573645" cy="10717530"/>
            <wp:effectExtent l="0" t="0" r="8255" b="7620"/>
            <wp:wrapNone/>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303 Word BG JPG.jpg"/>
                    <pic:cNvPicPr/>
                  </pic:nvPicPr>
                  <pic:blipFill>
                    <a:blip r:embed="rId7">
                      <a:extLst>
                        <a:ext uri="{28A0092B-C50C-407E-A947-70E740481C1C}">
                          <a14:useLocalDpi xmlns:a14="http://schemas.microsoft.com/office/drawing/2010/main" val="0"/>
                        </a:ext>
                      </a:extLst>
                    </a:blip>
                    <a:stretch>
                      <a:fillRect/>
                    </a:stretch>
                  </pic:blipFill>
                  <pic:spPr>
                    <a:xfrm>
                      <a:off x="0" y="0"/>
                      <a:ext cx="7573645" cy="10717530"/>
                    </a:xfrm>
                    <a:prstGeom prst="rect">
                      <a:avLst/>
                    </a:prstGeom>
                  </pic:spPr>
                </pic:pic>
              </a:graphicData>
            </a:graphic>
            <wp14:sizeRelH relativeFrom="margin">
              <wp14:pctWidth>0</wp14:pctWidth>
            </wp14:sizeRelH>
            <wp14:sizeRelV relativeFrom="margin">
              <wp14:pctHeight>0</wp14:pctHeight>
            </wp14:sizeRelV>
          </wp:anchor>
        </w:drawing>
      </w:r>
    </w:p>
    <w:p w:rsidR="00CD233A" w:rsidP="00CD233A" w:rsidRDefault="00CD233A" w14:paraId="6192C8D2" w14:textId="77777777">
      <w:r>
        <w:t>In addition, the following features further support transfer of knowledge to long-term memory:</w:t>
      </w:r>
    </w:p>
    <w:p w:rsidR="00CD233A" w:rsidP="00CD233A" w:rsidRDefault="00CD233A" w14:paraId="572F1028" w14:textId="77777777"/>
    <w:p w:rsidR="00CD233A" w:rsidP="00CB11CD" w:rsidRDefault="00CD233A" w14:paraId="438BAFA3" w14:textId="77777777">
      <w:pPr>
        <w:pStyle w:val="ListParagraph"/>
        <w:numPr>
          <w:ilvl w:val="0"/>
          <w:numId w:val="1"/>
        </w:numPr>
      </w:pPr>
      <w:r>
        <w:t>Starters and plenaries –</w:t>
      </w:r>
      <w:r w:rsidR="009811F9">
        <w:t xml:space="preserve"> </w:t>
      </w:r>
      <w:r>
        <w:t>opportunities to apply existing knowledge and skills/review new learning</w:t>
      </w:r>
    </w:p>
    <w:p w:rsidR="00CD233A" w:rsidP="00CB11CD" w:rsidRDefault="00CD233A" w14:paraId="60DDE9A3" w14:textId="77777777">
      <w:pPr>
        <w:pStyle w:val="ListParagraph"/>
        <w:numPr>
          <w:ilvl w:val="0"/>
          <w:numId w:val="1"/>
        </w:numPr>
      </w:pPr>
      <w:r>
        <w:t>Skills units –</w:t>
      </w:r>
      <w:r w:rsidR="009113E8">
        <w:t xml:space="preserve"> </w:t>
      </w:r>
      <w:r>
        <w:t>focus in greater depth on listening, speaking, reading and</w:t>
      </w:r>
      <w:r w:rsidR="00A0277D">
        <w:t xml:space="preserve"> </w:t>
      </w:r>
      <w:r>
        <w:t>writing skills</w:t>
      </w:r>
    </w:p>
    <w:p w:rsidR="00CD233A" w:rsidP="00CB11CD" w:rsidRDefault="00CD233A" w14:paraId="3C5901DC" w14:textId="77777777">
      <w:pPr>
        <w:pStyle w:val="ListParagraph"/>
        <w:numPr>
          <w:ilvl w:val="0"/>
          <w:numId w:val="1"/>
        </w:numPr>
      </w:pPr>
      <w:r>
        <w:t>¡Adelante! units - pool and combin</w:t>
      </w:r>
      <w:r w:rsidR="009113E8">
        <w:t>e</w:t>
      </w:r>
      <w:r>
        <w:t xml:space="preserve"> language and focus on GCSE task types</w:t>
      </w:r>
    </w:p>
    <w:p w:rsidR="00CD233A" w:rsidP="00CB11CD" w:rsidRDefault="00CD233A" w14:paraId="3DA92120" w14:textId="77777777">
      <w:pPr>
        <w:pStyle w:val="ListParagraph"/>
        <w:numPr>
          <w:ilvl w:val="0"/>
          <w:numId w:val="1"/>
        </w:numPr>
      </w:pPr>
      <w:proofErr w:type="spellStart"/>
      <w:r>
        <w:t>Gram</w:t>
      </w:r>
      <w:r w:rsidRPr="00D5681A" w:rsidR="00284117">
        <w:t>á</w:t>
      </w:r>
      <w:r>
        <w:t>tica</w:t>
      </w:r>
      <w:proofErr w:type="spellEnd"/>
      <w:r>
        <w:t xml:space="preserve"> units – </w:t>
      </w:r>
      <w:r w:rsidR="00A0277D">
        <w:t xml:space="preserve">bring </w:t>
      </w:r>
      <w:r>
        <w:t xml:space="preserve">together the grammar from the module and activities to </w:t>
      </w:r>
      <w:proofErr w:type="spellStart"/>
      <w:r>
        <w:t>practise</w:t>
      </w:r>
      <w:proofErr w:type="spellEnd"/>
      <w:r>
        <w:t xml:space="preserve"> it</w:t>
      </w:r>
    </w:p>
    <w:p w:rsidR="00CD233A" w:rsidP="00CB11CD" w:rsidRDefault="00CD233A" w14:paraId="1C68980D" w14:textId="77777777">
      <w:pPr>
        <w:pStyle w:val="ListParagraph"/>
        <w:numPr>
          <w:ilvl w:val="0"/>
          <w:numId w:val="1"/>
        </w:numPr>
      </w:pPr>
      <w:r>
        <w:t xml:space="preserve">Palabras units – </w:t>
      </w:r>
      <w:r w:rsidR="00A0277D">
        <w:t xml:space="preserve">bring </w:t>
      </w:r>
      <w:r>
        <w:t xml:space="preserve">together key language from the module, highlight high-frequency words and teach strategies for </w:t>
      </w:r>
      <w:proofErr w:type="spellStart"/>
      <w:r>
        <w:t>memorising</w:t>
      </w:r>
      <w:proofErr w:type="spellEnd"/>
      <w:r>
        <w:t xml:space="preserve"> language</w:t>
      </w:r>
    </w:p>
    <w:p w:rsidR="00CD233A" w:rsidP="00CB11CD" w:rsidRDefault="00CD233A" w14:paraId="739DF2E0" w14:textId="77777777">
      <w:pPr>
        <w:pStyle w:val="ListParagraph"/>
        <w:numPr>
          <w:ilvl w:val="0"/>
          <w:numId w:val="1"/>
        </w:numPr>
      </w:pPr>
      <w:proofErr w:type="spellStart"/>
      <w:r>
        <w:t>Resumen</w:t>
      </w:r>
      <w:proofErr w:type="spellEnd"/>
      <w:r>
        <w:t xml:space="preserve"> and </w:t>
      </w:r>
      <w:proofErr w:type="spellStart"/>
      <w:r>
        <w:t>Repaso</w:t>
      </w:r>
      <w:proofErr w:type="spellEnd"/>
      <w:r>
        <w:t xml:space="preserve"> – </w:t>
      </w:r>
      <w:r w:rsidR="009113E8">
        <w:t>review</w:t>
      </w:r>
      <w:r>
        <w:t xml:space="preserve"> the learning in a module</w:t>
      </w:r>
    </w:p>
    <w:p w:rsidR="00CD233A" w:rsidP="00CB11CD" w:rsidRDefault="00CD233A" w14:paraId="0D7B7882" w14:textId="77777777">
      <w:pPr>
        <w:pStyle w:val="ListParagraph"/>
        <w:numPr>
          <w:ilvl w:val="0"/>
          <w:numId w:val="1"/>
        </w:numPr>
      </w:pPr>
      <w:proofErr w:type="spellStart"/>
      <w:r>
        <w:t>Te</w:t>
      </w:r>
      <w:proofErr w:type="spellEnd"/>
      <w:r>
        <w:t xml:space="preserve"> </w:t>
      </w:r>
      <w:proofErr w:type="spellStart"/>
      <w:r>
        <w:t>toca</w:t>
      </w:r>
      <w:proofErr w:type="spellEnd"/>
      <w:r>
        <w:t xml:space="preserve"> a </w:t>
      </w:r>
      <w:proofErr w:type="spellStart"/>
      <w:r>
        <w:t>ti</w:t>
      </w:r>
      <w:proofErr w:type="spellEnd"/>
      <w:r>
        <w:t xml:space="preserve"> section</w:t>
      </w:r>
      <w:r w:rsidR="00CA51B4">
        <w:t xml:space="preserve">, </w:t>
      </w:r>
      <w:r>
        <w:t xml:space="preserve">Workbooks and </w:t>
      </w:r>
      <w:proofErr w:type="spellStart"/>
      <w:r>
        <w:t>ActiveLearn</w:t>
      </w:r>
      <w:proofErr w:type="spellEnd"/>
      <w:r>
        <w:t xml:space="preserve"> Digital Service</w:t>
      </w:r>
      <w:r w:rsidR="00CA51B4">
        <w:t xml:space="preserve"> – </w:t>
      </w:r>
      <w:r>
        <w:t>provide material for independent practice.</w:t>
      </w:r>
    </w:p>
    <w:p w:rsidR="00F44F80" w:rsidP="00CD233A" w:rsidRDefault="00F44F80" w14:paraId="54CAD3E4" w14:textId="77777777"/>
    <w:p w:rsidR="00CD233A" w:rsidP="00CD233A" w:rsidRDefault="00CD233A" w14:paraId="042FA24E" w14:textId="77777777">
      <w:pPr>
        <w:rPr>
          <w:rFonts w:eastAsia="Times New Roman"/>
          <w:b/>
          <w:bCs/>
          <w:color w:val="4472C4"/>
        </w:rPr>
      </w:pPr>
      <w:r>
        <w:rPr>
          <w:rFonts w:eastAsia="Times New Roman"/>
          <w:b/>
          <w:bCs/>
          <w:color w:val="4472C4"/>
        </w:rPr>
        <w:t>How does ¡Viva! help teachers to check understanding, identify misconceptions and adapt teaching/provide feedback?</w:t>
      </w:r>
    </w:p>
    <w:p w:rsidR="00F44F80" w:rsidP="00CD233A" w:rsidRDefault="00F44F80" w14:paraId="327240F6" w14:textId="77777777">
      <w:pPr>
        <w:rPr>
          <w:rFonts w:eastAsia="Times New Roman"/>
          <w:b/>
          <w:bCs/>
          <w:color w:val="4472C4"/>
        </w:rPr>
      </w:pPr>
    </w:p>
    <w:p w:rsidR="00CD233A" w:rsidP="00CD233A" w:rsidRDefault="00CD233A" w14:paraId="6432E0CD" w14:textId="77777777">
      <w:r>
        <w:t xml:space="preserve">¡Viva! provides a range of resources and tools to support teachers to check understanding of language that has been taught: </w:t>
      </w:r>
    </w:p>
    <w:p w:rsidR="00CD233A" w:rsidP="00CD233A" w:rsidRDefault="00CD233A" w14:paraId="0EE70499" w14:textId="77777777"/>
    <w:p w:rsidR="00CD233A" w:rsidP="00CB11CD" w:rsidRDefault="00CA51B4" w14:paraId="4FA8192E" w14:textId="77777777">
      <w:pPr>
        <w:pStyle w:val="ListParagraph"/>
        <w:numPr>
          <w:ilvl w:val="0"/>
          <w:numId w:val="2"/>
        </w:numPr>
      </w:pPr>
      <w:r>
        <w:t>S</w:t>
      </w:r>
      <w:r w:rsidR="00CD233A">
        <w:t>tarters and plenaries – ideas provided for each unit</w:t>
      </w:r>
    </w:p>
    <w:p w:rsidR="00CD233A" w:rsidP="00CB11CD" w:rsidRDefault="00CD233A" w14:paraId="7EDACB01" w14:textId="77777777">
      <w:pPr>
        <w:pStyle w:val="ListParagraph"/>
        <w:numPr>
          <w:ilvl w:val="0"/>
          <w:numId w:val="2"/>
        </w:numPr>
      </w:pPr>
      <w:proofErr w:type="spellStart"/>
      <w:r>
        <w:t>Resumen</w:t>
      </w:r>
      <w:proofErr w:type="spellEnd"/>
      <w:r>
        <w:t xml:space="preserve"> – learning checklist</w:t>
      </w:r>
    </w:p>
    <w:p w:rsidR="00CD233A" w:rsidP="00CB11CD" w:rsidRDefault="00CD233A" w14:paraId="2AAAE8A4" w14:textId="77777777">
      <w:pPr>
        <w:pStyle w:val="ListParagraph"/>
        <w:numPr>
          <w:ilvl w:val="0"/>
          <w:numId w:val="2"/>
        </w:numPr>
      </w:pPr>
      <w:proofErr w:type="spellStart"/>
      <w:r>
        <w:t>Repaso</w:t>
      </w:r>
      <w:proofErr w:type="spellEnd"/>
      <w:r>
        <w:t xml:space="preserve"> – a quiz-style page to help pupils review learning/prepare for assessment</w:t>
      </w:r>
    </w:p>
    <w:p w:rsidR="00CD233A" w:rsidP="00CB11CD" w:rsidRDefault="00CD233A" w14:paraId="79AB980B" w14:textId="163B8D7A">
      <w:pPr>
        <w:pStyle w:val="ListParagraph"/>
        <w:numPr>
          <w:ilvl w:val="0"/>
          <w:numId w:val="2"/>
        </w:numPr>
      </w:pPr>
      <w:proofErr w:type="spellStart"/>
      <w:r>
        <w:t>ActiveLearn</w:t>
      </w:r>
      <w:proofErr w:type="spellEnd"/>
      <w:r w:rsidR="00884302">
        <w:t xml:space="preserve"> </w:t>
      </w:r>
      <w:r>
        <w:t xml:space="preserve">– </w:t>
      </w:r>
      <w:r w:rsidR="00CA51B4">
        <w:t xml:space="preserve">includes </w:t>
      </w:r>
      <w:r>
        <w:t>self-marking homework activities which provide feedback for pupils and tracking for teachers</w:t>
      </w:r>
      <w:r w:rsidR="00284117">
        <w:t>.</w:t>
      </w:r>
    </w:p>
    <w:p w:rsidR="00CD233A" w:rsidP="00CD233A" w:rsidRDefault="00CD233A" w14:paraId="46F4CE3D" w14:textId="77777777"/>
    <w:p w:rsidR="00CD233A" w:rsidP="00CD233A" w:rsidRDefault="009811F9" w14:paraId="3898D7E5" w14:textId="77777777">
      <w:r>
        <w:t>F</w:t>
      </w:r>
      <w:r w:rsidR="00CD233A">
        <w:t>or more formal</w:t>
      </w:r>
      <w:r>
        <w:t xml:space="preserve"> assessment,</w:t>
      </w:r>
      <w:r w:rsidR="00CD233A">
        <w:t xml:space="preserve"> </w:t>
      </w:r>
      <w:r>
        <w:t xml:space="preserve">the Assessment Packs provide </w:t>
      </w:r>
      <w:r w:rsidR="00CD233A">
        <w:t xml:space="preserve">end-of-module and end-of-year </w:t>
      </w:r>
      <w:r>
        <w:t xml:space="preserve">tests, which map pupils’ performance to Pearson Progression Steps and indicative </w:t>
      </w:r>
      <w:r w:rsidR="00DD17B7">
        <w:t xml:space="preserve">GCSE </w:t>
      </w:r>
      <w:r>
        <w:t>grades</w:t>
      </w:r>
      <w:r w:rsidR="00CD233A">
        <w:t>.</w:t>
      </w:r>
    </w:p>
    <w:p w:rsidR="00CD233A" w:rsidP="00CD233A" w:rsidRDefault="00CD233A" w14:paraId="5A9F4EF2" w14:textId="77777777"/>
    <w:p w:rsidR="00CD233A" w:rsidP="00CD233A" w:rsidRDefault="00CD233A" w14:paraId="2CA48331" w14:textId="77777777">
      <w:r>
        <w:t xml:space="preserve">The very clearly-structured units and modules and the wealth of resources makes it easy for teachers to adapt their teaching as they progress. </w:t>
      </w:r>
    </w:p>
    <w:p w:rsidR="00F44F80" w:rsidP="00CD233A" w:rsidRDefault="00F44F80" w14:paraId="3E49AA25" w14:textId="77777777"/>
    <w:p w:rsidR="00CD233A" w:rsidP="00CD233A" w:rsidRDefault="00CD233A" w14:paraId="2B1121E3" w14:textId="77777777">
      <w:pPr>
        <w:rPr>
          <w:rFonts w:eastAsia="Times New Roman"/>
          <w:b/>
          <w:bCs/>
          <w:color w:val="4472C4"/>
        </w:rPr>
      </w:pPr>
      <w:r>
        <w:rPr>
          <w:rFonts w:eastAsia="Times New Roman"/>
          <w:b/>
          <w:bCs/>
          <w:color w:val="4472C4"/>
        </w:rPr>
        <w:t>How does ¡Viva! help to save teachers time?</w:t>
      </w:r>
    </w:p>
    <w:p w:rsidR="00F44F80" w:rsidP="00CD233A" w:rsidRDefault="00F44F80" w14:paraId="4B4DD024" w14:textId="77777777"/>
    <w:p w:rsidRPr="00022037" w:rsidR="00493596" w:rsidRDefault="00CD233A" w14:paraId="0336C448" w14:textId="162814E1">
      <w:pPr>
        <w:rPr>
          <w:rFonts w:ascii="Verdana" w:hAnsi="Verdana"/>
          <w:noProof/>
        </w:rPr>
      </w:pPr>
      <w:r>
        <w:rPr>
          <w:rFonts w:eastAsia="Times New Roman"/>
          <w:color w:val="000000"/>
        </w:rPr>
        <w:t>¡Viva! provides a range of resources to support teachers with planning, teaching lessons and assessing progress.</w:t>
      </w:r>
      <w:r w:rsidR="00CF7228">
        <w:rPr>
          <w:rFonts w:eastAsia="Times New Roman"/>
          <w:color w:val="000000"/>
        </w:rPr>
        <w:t xml:space="preserve"> </w:t>
      </w:r>
      <w:proofErr w:type="spellStart"/>
      <w:r>
        <w:rPr>
          <w:rFonts w:eastAsia="Times New Roman"/>
          <w:color w:val="000000"/>
        </w:rPr>
        <w:t>Active</w:t>
      </w:r>
      <w:r w:rsidR="00184F5D">
        <w:rPr>
          <w:rFonts w:eastAsia="Times New Roman"/>
          <w:color w:val="000000"/>
        </w:rPr>
        <w:t>L</w:t>
      </w:r>
      <w:r>
        <w:rPr>
          <w:rFonts w:eastAsia="Times New Roman"/>
          <w:color w:val="000000"/>
        </w:rPr>
        <w:t>earn</w:t>
      </w:r>
      <w:proofErr w:type="spellEnd"/>
      <w:r>
        <w:rPr>
          <w:rFonts w:eastAsia="Times New Roman"/>
          <w:color w:val="000000"/>
        </w:rPr>
        <w:t xml:space="preserve"> provides</w:t>
      </w:r>
      <w:r w:rsidR="009811F9">
        <w:rPr>
          <w:rFonts w:eastAsia="Times New Roman"/>
          <w:color w:val="000000"/>
        </w:rPr>
        <w:t xml:space="preserve"> comprehensive teacher support including </w:t>
      </w:r>
      <w:r w:rsidR="009811F9">
        <w:t>a</w:t>
      </w:r>
      <w:r>
        <w:t xml:space="preserve"> </w:t>
      </w:r>
      <w:proofErr w:type="spellStart"/>
      <w:r>
        <w:t>customisable</w:t>
      </w:r>
      <w:proofErr w:type="spellEnd"/>
      <w:r>
        <w:t xml:space="preserve"> Scheme of Work for lesson planning</w:t>
      </w:r>
      <w:r w:rsidR="00020368">
        <w:t>,</w:t>
      </w:r>
      <w:r>
        <w:t xml:space="preserve"> </w:t>
      </w:r>
      <w:r w:rsidR="009811F9">
        <w:t>a</w:t>
      </w:r>
      <w:r>
        <w:t xml:space="preserve">n interactive Scheme of Work for long-term planning </w:t>
      </w:r>
      <w:r w:rsidR="009811F9">
        <w:t xml:space="preserve">and individual lesson plans.  The </w:t>
      </w:r>
      <w:r>
        <w:t xml:space="preserve">front-of-class teaching </w:t>
      </w:r>
      <w:r w:rsidR="009811F9">
        <w:t xml:space="preserve">resources consist of a digital Pupil book </w:t>
      </w:r>
      <w:r>
        <w:t>with audio, interactive flashcards, presentations, games and video at the click of a button</w:t>
      </w:r>
      <w:r w:rsidR="009811F9">
        <w:t xml:space="preserve">.  The </w:t>
      </w:r>
      <w:r>
        <w:t>Homework activities (listening and reading) are self-marking</w:t>
      </w:r>
      <w:r w:rsidR="009811F9">
        <w:t xml:space="preserve"> and the Assessment Pack comes with online </w:t>
      </w:r>
      <w:proofErr w:type="spellStart"/>
      <w:r w:rsidR="009811F9">
        <w:t>markbooks</w:t>
      </w:r>
      <w:proofErr w:type="spellEnd"/>
      <w:r w:rsidR="009811F9">
        <w:t xml:space="preserve"> which allow for easy tracking of pupils’ performance.  An assessment builder is </w:t>
      </w:r>
      <w:r w:rsidR="00284117">
        <w:t>a</w:t>
      </w:r>
      <w:r w:rsidR="009811F9">
        <w:t xml:space="preserve">lso available for easy </w:t>
      </w:r>
      <w:proofErr w:type="spellStart"/>
      <w:r w:rsidR="009811F9">
        <w:t>customisation</w:t>
      </w:r>
      <w:proofErr w:type="spellEnd"/>
      <w:r w:rsidR="009811F9">
        <w:t xml:space="preserve"> of the tests.  Meanwhile the Workbooks provide instant content for homework or cover lessons.</w:t>
      </w:r>
    </w:p>
    <w:sectPr w:rsidRPr="00022037" w:rsidR="00493596" w:rsidSect="00CB11CD">
      <w:pgSz w:w="11900" w:h="16840"/>
      <w:pgMar w:top="2098" w:right="1077" w:bottom="1440"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2052C" w14:textId="77777777" w:rsidR="004B3E72" w:rsidRDefault="004B3E72" w:rsidP="00910DE8">
      <w:r>
        <w:separator/>
      </w:r>
    </w:p>
  </w:endnote>
  <w:endnote w:type="continuationSeparator" w:id="0">
    <w:p w14:paraId="31E90F0E" w14:textId="77777777" w:rsidR="004B3E72" w:rsidRDefault="004B3E72" w:rsidP="0091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1847F" w14:textId="77777777" w:rsidR="004B3E72" w:rsidRDefault="004B3E72" w:rsidP="00910DE8">
      <w:r>
        <w:separator/>
      </w:r>
    </w:p>
  </w:footnote>
  <w:footnote w:type="continuationSeparator" w:id="0">
    <w:p w14:paraId="19C1A358" w14:textId="77777777" w:rsidR="004B3E72" w:rsidRDefault="004B3E72" w:rsidP="0091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07A5"/>
    <w:multiLevelType w:val="hybridMultilevel"/>
    <w:tmpl w:val="ECDC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011B3"/>
    <w:multiLevelType w:val="hybridMultilevel"/>
    <w:tmpl w:val="5B7A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E8"/>
    <w:rsid w:val="00020368"/>
    <w:rsid w:val="00022037"/>
    <w:rsid w:val="00022629"/>
    <w:rsid w:val="000E31FB"/>
    <w:rsid w:val="00184F5D"/>
    <w:rsid w:val="001D38CD"/>
    <w:rsid w:val="001E1D3C"/>
    <w:rsid w:val="00200E63"/>
    <w:rsid w:val="0021584D"/>
    <w:rsid w:val="00234184"/>
    <w:rsid w:val="00243018"/>
    <w:rsid w:val="00282B05"/>
    <w:rsid w:val="00284117"/>
    <w:rsid w:val="002A1D4C"/>
    <w:rsid w:val="002F7049"/>
    <w:rsid w:val="003332FC"/>
    <w:rsid w:val="00491098"/>
    <w:rsid w:val="004B3E72"/>
    <w:rsid w:val="004B5832"/>
    <w:rsid w:val="004C579F"/>
    <w:rsid w:val="004D2C05"/>
    <w:rsid w:val="00517849"/>
    <w:rsid w:val="00581069"/>
    <w:rsid w:val="0059137B"/>
    <w:rsid w:val="005A6859"/>
    <w:rsid w:val="005B182F"/>
    <w:rsid w:val="005D5BEE"/>
    <w:rsid w:val="006565D8"/>
    <w:rsid w:val="00680609"/>
    <w:rsid w:val="006D1A8A"/>
    <w:rsid w:val="006E0E1F"/>
    <w:rsid w:val="00751E26"/>
    <w:rsid w:val="00754A26"/>
    <w:rsid w:val="00762F94"/>
    <w:rsid w:val="0079779E"/>
    <w:rsid w:val="007C24DF"/>
    <w:rsid w:val="007F2554"/>
    <w:rsid w:val="007F7763"/>
    <w:rsid w:val="00884302"/>
    <w:rsid w:val="00910DE8"/>
    <w:rsid w:val="009113E8"/>
    <w:rsid w:val="009811F9"/>
    <w:rsid w:val="009C2F37"/>
    <w:rsid w:val="009C496D"/>
    <w:rsid w:val="009F7644"/>
    <w:rsid w:val="00A0277D"/>
    <w:rsid w:val="00A72A6F"/>
    <w:rsid w:val="00CA3D26"/>
    <w:rsid w:val="00CA51B4"/>
    <w:rsid w:val="00CB11CD"/>
    <w:rsid w:val="00CD233A"/>
    <w:rsid w:val="00CD2D7B"/>
    <w:rsid w:val="00CF7228"/>
    <w:rsid w:val="00D5681A"/>
    <w:rsid w:val="00D90505"/>
    <w:rsid w:val="00DD17B7"/>
    <w:rsid w:val="00E7101B"/>
    <w:rsid w:val="00EB3D13"/>
    <w:rsid w:val="00F44F80"/>
    <w:rsid w:val="00F54E1C"/>
    <w:rsid w:val="00FE09DA"/>
    <w:rsid w:val="00FE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4912"/>
  <w15:chartTrackingRefBased/>
  <w15:docId w15:val="{179E8E43-9E0D-C74F-B54C-FF2D1ABA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DE8"/>
    <w:pPr>
      <w:tabs>
        <w:tab w:val="center" w:pos="4680"/>
        <w:tab w:val="right" w:pos="9360"/>
      </w:tabs>
    </w:pPr>
  </w:style>
  <w:style w:type="character" w:customStyle="1" w:styleId="HeaderChar">
    <w:name w:val="Header Char"/>
    <w:basedOn w:val="DefaultParagraphFont"/>
    <w:link w:val="Header"/>
    <w:uiPriority w:val="99"/>
    <w:rsid w:val="00910DE8"/>
    <w:rPr>
      <w:rFonts w:eastAsiaTheme="minorEastAsia"/>
    </w:rPr>
  </w:style>
  <w:style w:type="paragraph" w:styleId="Footer">
    <w:name w:val="footer"/>
    <w:basedOn w:val="Normal"/>
    <w:link w:val="FooterChar"/>
    <w:uiPriority w:val="99"/>
    <w:unhideWhenUsed/>
    <w:rsid w:val="00910DE8"/>
    <w:pPr>
      <w:tabs>
        <w:tab w:val="center" w:pos="4680"/>
        <w:tab w:val="right" w:pos="9360"/>
      </w:tabs>
    </w:pPr>
  </w:style>
  <w:style w:type="character" w:customStyle="1" w:styleId="FooterChar">
    <w:name w:val="Footer Char"/>
    <w:basedOn w:val="DefaultParagraphFont"/>
    <w:link w:val="Footer"/>
    <w:uiPriority w:val="99"/>
    <w:rsid w:val="00910DE8"/>
    <w:rPr>
      <w:rFonts w:eastAsiaTheme="minorEastAsia"/>
    </w:rPr>
  </w:style>
  <w:style w:type="paragraph" w:styleId="NoSpacing">
    <w:name w:val="No Spacing"/>
    <w:link w:val="NoSpacingChar"/>
    <w:uiPriority w:val="1"/>
    <w:qFormat/>
    <w:rsid w:val="00CA3D26"/>
    <w:rPr>
      <w:rFonts w:eastAsiaTheme="minorEastAsia"/>
      <w:sz w:val="22"/>
      <w:szCs w:val="22"/>
      <w:lang w:eastAsia="zh-CN"/>
    </w:rPr>
  </w:style>
  <w:style w:type="character" w:customStyle="1" w:styleId="NoSpacingChar">
    <w:name w:val="No Spacing Char"/>
    <w:basedOn w:val="DefaultParagraphFont"/>
    <w:link w:val="NoSpacing"/>
    <w:uiPriority w:val="1"/>
    <w:rsid w:val="00CA3D26"/>
    <w:rPr>
      <w:rFonts w:eastAsiaTheme="minorEastAsia"/>
      <w:sz w:val="22"/>
      <w:szCs w:val="22"/>
      <w:lang w:eastAsia="zh-CN"/>
    </w:rPr>
  </w:style>
  <w:style w:type="paragraph" w:styleId="BalloonText">
    <w:name w:val="Balloon Text"/>
    <w:basedOn w:val="Normal"/>
    <w:link w:val="BalloonTextChar"/>
    <w:uiPriority w:val="99"/>
    <w:semiHidden/>
    <w:unhideWhenUsed/>
    <w:rsid w:val="000E3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FB"/>
    <w:rPr>
      <w:rFonts w:ascii="Segoe UI" w:eastAsiaTheme="minorEastAsia" w:hAnsi="Segoe UI" w:cs="Segoe UI"/>
      <w:sz w:val="18"/>
      <w:szCs w:val="18"/>
    </w:rPr>
  </w:style>
  <w:style w:type="paragraph" w:styleId="ListParagraph">
    <w:name w:val="List Paragraph"/>
    <w:basedOn w:val="Normal"/>
    <w:uiPriority w:val="34"/>
    <w:qFormat/>
    <w:rsid w:val="00CF7228"/>
    <w:pPr>
      <w:ind w:left="720"/>
      <w:contextualSpacing/>
    </w:pPr>
  </w:style>
  <w:style w:type="character" w:styleId="Hyperlink">
    <w:name w:val="Hyperlink"/>
    <w:basedOn w:val="DefaultParagraphFont"/>
    <w:uiPriority w:val="99"/>
    <w:unhideWhenUsed/>
    <w:rsid w:val="00243018"/>
    <w:rPr>
      <w:color w:val="0563C1" w:themeColor="hyperlink"/>
      <w:u w:val="single"/>
    </w:rPr>
  </w:style>
  <w:style w:type="character" w:styleId="UnresolvedMention">
    <w:name w:val="Unresolved Mention"/>
    <w:basedOn w:val="DefaultParagraphFont"/>
    <w:uiPriority w:val="99"/>
    <w:semiHidden/>
    <w:unhideWhenUsed/>
    <w:rsid w:val="00243018"/>
    <w:rPr>
      <w:color w:val="605E5C"/>
      <w:shd w:val="clear" w:color="auto" w:fill="E1DFDD"/>
    </w:rPr>
  </w:style>
  <w:style w:type="character" w:styleId="FollowedHyperlink">
    <w:name w:val="FollowedHyperlink"/>
    <w:basedOn w:val="DefaultParagraphFont"/>
    <w:uiPriority w:val="99"/>
    <w:semiHidden/>
    <w:unhideWhenUsed/>
    <w:rsid w:val="005D5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32872">
      <w:bodyDiv w:val="1"/>
      <w:marLeft w:val="0"/>
      <w:marRight w:val="0"/>
      <w:marTop w:val="0"/>
      <w:marBottom w:val="0"/>
      <w:divBdr>
        <w:top w:val="none" w:sz="0" w:space="0" w:color="auto"/>
        <w:left w:val="none" w:sz="0" w:space="0" w:color="auto"/>
        <w:bottom w:val="none" w:sz="0" w:space="0" w:color="auto"/>
        <w:right w:val="none" w:sz="0" w:space="0" w:color="auto"/>
      </w:divBdr>
      <w:divsChild>
        <w:div w:id="940643067">
          <w:marLeft w:val="0"/>
          <w:marRight w:val="0"/>
          <w:marTop w:val="0"/>
          <w:marBottom w:val="0"/>
          <w:divBdr>
            <w:top w:val="none" w:sz="0" w:space="0" w:color="auto"/>
            <w:left w:val="none" w:sz="0" w:space="0" w:color="auto"/>
            <w:bottom w:val="none" w:sz="0" w:space="0" w:color="auto"/>
            <w:right w:val="none" w:sz="0" w:space="0" w:color="auto"/>
          </w:divBdr>
          <w:divsChild>
            <w:div w:id="718895354">
              <w:marLeft w:val="0"/>
              <w:marRight w:val="0"/>
              <w:marTop w:val="0"/>
              <w:marBottom w:val="0"/>
              <w:divBdr>
                <w:top w:val="none" w:sz="0" w:space="0" w:color="auto"/>
                <w:left w:val="none" w:sz="0" w:space="0" w:color="auto"/>
                <w:bottom w:val="none" w:sz="0" w:space="0" w:color="auto"/>
                <w:right w:val="none" w:sz="0" w:space="0" w:color="auto"/>
              </w:divBdr>
            </w:div>
          </w:divsChild>
        </w:div>
        <w:div w:id="2069835380">
          <w:marLeft w:val="0"/>
          <w:marRight w:val="0"/>
          <w:marTop w:val="0"/>
          <w:marBottom w:val="0"/>
          <w:divBdr>
            <w:top w:val="none" w:sz="0" w:space="0" w:color="auto"/>
            <w:left w:val="none" w:sz="0" w:space="0" w:color="auto"/>
            <w:bottom w:val="none" w:sz="0" w:space="0" w:color="auto"/>
            <w:right w:val="none" w:sz="0" w:space="0" w:color="auto"/>
          </w:divBdr>
          <w:divsChild>
            <w:div w:id="6011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schoolsandfecolleges.co.uk/secondary/ModernLanguages/Spanish11-14/viva-segunda/support-materials/support-materials.aspx"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arsonschoolsandfecolleges.co.uk/secondary/ModernLanguages/Spanish11-14/viva-segunda/support-materials/support-materi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viva-segunda-edicion-and-the-ofsted-framework-link3 (1)</dc:title>
  <dc:subject>
  </dc:subject>
  <dc:creator>Microsoft Office User</dc:creator>
  <cp:keywords>
  </cp:keywords>
  <dc:description>
  </dc:description>
  <cp:lastModifiedBy>Rasha Al-Harithi</cp:lastModifiedBy>
  <cp:revision>11</cp:revision>
  <dcterms:created xsi:type="dcterms:W3CDTF">2019-12-10T16:38:00Z</dcterms:created>
  <dcterms:modified xsi:type="dcterms:W3CDTF">2021-04-22T14:42:43Z</dcterms:modified>
</cp:coreProperties>
</file>